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8" w:rsidRPr="009D462F" w:rsidRDefault="00BE7FF8" w:rsidP="009D462F">
      <w:pPr>
        <w:jc w:val="center"/>
        <w:rPr>
          <w:rFonts w:ascii="標楷體" w:eastAsia="標楷體" w:hAnsi="標楷體" w:cs="華康中黑體(P)"/>
          <w:b/>
          <w:sz w:val="36"/>
          <w:szCs w:val="36"/>
        </w:rPr>
      </w:pPr>
      <w:r w:rsidRPr="009D462F">
        <w:rPr>
          <w:rFonts w:ascii="標楷體" w:eastAsia="標楷體" w:hAnsi="標楷體" w:cs="華康中黑體(P)" w:hint="eastAsia"/>
          <w:b/>
          <w:sz w:val="36"/>
          <w:szCs w:val="36"/>
        </w:rPr>
        <w:t xml:space="preserve">社團法人新竹市心理衛生協會   </w:t>
      </w:r>
      <w:r w:rsidRPr="009D462F">
        <w:rPr>
          <w:rFonts w:ascii="標楷體" w:eastAsia="標楷體" w:hAnsi="標楷體" w:cs="華康中黑體(P)" w:hint="eastAsia"/>
          <w:b/>
          <w:noProof/>
          <w:sz w:val="36"/>
          <w:szCs w:val="36"/>
        </w:rPr>
        <w:drawing>
          <wp:inline distT="0" distB="0" distL="0" distR="0" wp14:anchorId="468A5C74" wp14:editId="45099AA4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Pr="009D462F" w:rsidRDefault="006E1B23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="001F03A6" w:rsidRPr="009D462F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9D462F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D462F">
        <w:rPr>
          <w:rFonts w:ascii="標楷體" w:eastAsia="標楷體" w:hAnsi="標楷體" w:hint="eastAsia"/>
          <w:b/>
          <w:sz w:val="36"/>
          <w:szCs w:val="36"/>
        </w:rPr>
        <w:t>『</w:t>
      </w:r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綠地舒活</w:t>
      </w:r>
      <w:proofErr w:type="gramStart"/>
      <w:r w:rsidR="00506665" w:rsidRPr="009D462F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推動</w:t>
      </w:r>
      <w:r w:rsidR="00506665" w:rsidRPr="009D462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身心障礙者綠色照護服務計畫</w:t>
      </w:r>
      <w:r w:rsidRPr="009D462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9D462F" w:rsidRPr="009D462F" w:rsidRDefault="009D462F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E7FF8" w:rsidRDefault="00E143E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奇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檬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子的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春天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-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成長工作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坊</w:t>
      </w:r>
    </w:p>
    <w:bookmarkEnd w:id="0"/>
    <w:p w:rsidR="009D462F" w:rsidRPr="009D462F" w:rsidRDefault="009D462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</w:p>
    <w:p w:rsidR="001F03A6" w:rsidRDefault="00BE7FF8" w:rsidP="001F03A6">
      <w:pPr>
        <w:widowControl/>
        <w:shd w:val="clear" w:color="auto" w:fill="FFFFFF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132A8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1F03A6" w:rsidRPr="00DC7C3B">
        <w:rPr>
          <w:rStyle w:val="a7"/>
          <w:rFonts w:ascii="標楷體" w:eastAsia="標楷體" w:hAnsi="標楷體"/>
          <w:color w:val="000000"/>
          <w:sz w:val="28"/>
          <w:szCs w:val="28"/>
        </w:rPr>
        <w:t>「</w:t>
      </w:r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綠色照護」（green care）為結合心理衛生、醫療工作，和園藝、動物照護、戶外活動等元素所發展出的一種新模式，藉由「人與自然事物互動之歷程」來療</w:t>
      </w:r>
      <w:proofErr w:type="gramStart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癒</w:t>
      </w:r>
      <w:proofErr w:type="gramEnd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身心。</w:t>
      </w:r>
      <w:r w:rsidR="001F03A6" w:rsidRPr="00DC7C3B">
        <w:rPr>
          <w:rFonts w:ascii="標楷體" w:eastAsia="標楷體" w:hAnsi="標楷體" w:cs="LinGothic-Light" w:hint="eastAsia"/>
          <w:color w:val="000000"/>
          <w:kern w:val="0"/>
          <w:sz w:val="28"/>
          <w:szCs w:val="28"/>
        </w:rPr>
        <w:t>「園藝治療能對特殊族群，包括：失智、中風失能老人、自閉症、唐氏症兒童，以及各種學習、精神障礙的人，幾乎可以說所有人都能從園藝治療中感受到樂趣與協助。」</w:t>
      </w:r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透過欣賞、體驗與照顧等活動進行療</w:t>
      </w:r>
      <w:proofErr w:type="gramStart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癒</w:t>
      </w:r>
      <w:proofErr w:type="gramEnd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，以促進其身心兩方面的健康。</w:t>
      </w:r>
    </w:p>
    <w:p w:rsidR="00BE7FF8" w:rsidRPr="001F03A6" w:rsidRDefault="00BE7FF8" w:rsidP="001F03A6">
      <w:pPr>
        <w:spacing w:line="38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FF8" w:rsidRDefault="00BE7FF8" w:rsidP="001F03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併</w:t>
      </w:r>
      <w:proofErr w:type="gramEnd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有精神障礙之多重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</w:t>
      </w:r>
      <w:proofErr w:type="gramEnd"/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</w:t>
      </w:r>
      <w:proofErr w:type="gramStart"/>
      <w:r w:rsidRPr="003145F6">
        <w:rPr>
          <w:rFonts w:ascii="標楷體" w:eastAsia="標楷體" w:hAnsi="標楷體"/>
          <w:color w:val="000000"/>
          <w:sz w:val="28"/>
          <w:szCs w:val="28"/>
        </w:rPr>
        <w:t>障礙雙老家庭</w:t>
      </w:r>
      <w:proofErr w:type="gramEnd"/>
      <w:r w:rsidRPr="003145F6">
        <w:rPr>
          <w:rFonts w:ascii="標楷體" w:eastAsia="標楷體" w:hAnsi="標楷體"/>
          <w:color w:val="000000"/>
          <w:sz w:val="28"/>
          <w:szCs w:val="28"/>
        </w:rPr>
        <w:t>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</w:t>
      </w:r>
      <w:proofErr w:type="gramStart"/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proofErr w:type="gramEnd"/>
    </w:p>
    <w:p w:rsidR="001F03A6" w:rsidRPr="00D77FFE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FF8" w:rsidRDefault="00BE7FF8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6E1B23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E1B2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1B23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6E1B23">
        <w:rPr>
          <w:rFonts w:ascii="標楷體" w:eastAsia="標楷體" w:hAnsi="標楷體" w:hint="eastAsia"/>
          <w:sz w:val="28"/>
          <w:szCs w:val="28"/>
        </w:rPr>
        <w:t>11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6E1B23">
        <w:rPr>
          <w:rFonts w:ascii="標楷體" w:eastAsia="標楷體" w:hAnsi="標楷體" w:hint="eastAsia"/>
          <w:sz w:val="28"/>
          <w:szCs w:val="28"/>
        </w:rPr>
        <w:t>10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036F7">
        <w:rPr>
          <w:rFonts w:ascii="標楷體" w:eastAsia="標楷體" w:hAnsi="標楷體" w:hint="eastAsia"/>
          <w:sz w:val="28"/>
          <w:szCs w:val="28"/>
        </w:rPr>
        <w:t>每逢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6E1B2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5036F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時至</w:t>
      </w:r>
      <w:r w:rsidR="005036F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9D462F" w:rsidRDefault="009D462F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</w:p>
    <w:p w:rsidR="005036F7" w:rsidRDefault="005036F7" w:rsidP="001F03A6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t>竹夢園-希望工坊園區</w:t>
      </w:r>
      <w:r w:rsidR="009D462F">
        <w:rPr>
          <w:rFonts w:ascii="標楷體" w:eastAsia="標楷體" w:hAnsi="標楷體" w:hint="eastAsia"/>
          <w:b/>
          <w:sz w:val="28"/>
          <w:szCs w:val="28"/>
        </w:rPr>
        <w:t>、竹夢園-希望農場</w:t>
      </w:r>
    </w:p>
    <w:p w:rsidR="009D462F" w:rsidRDefault="009D462F" w:rsidP="001F03A6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</w:p>
    <w:p w:rsidR="001F03A6" w:rsidRDefault="009D462F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E94B46" w:rsidRDefault="00E94B46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講師：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草月流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教師  楊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渼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芳老師</w:t>
      </w:r>
    </w:p>
    <w:tbl>
      <w:tblPr>
        <w:tblStyle w:val="-60"/>
        <w:tblW w:w="4946" w:type="pct"/>
        <w:tblLook w:val="04A0" w:firstRow="1" w:lastRow="0" w:firstColumn="1" w:lastColumn="0" w:noHBand="0" w:noVBand="1"/>
      </w:tblPr>
      <w:tblGrid>
        <w:gridCol w:w="1165"/>
        <w:gridCol w:w="2548"/>
        <w:gridCol w:w="3296"/>
        <w:gridCol w:w="3298"/>
      </w:tblGrid>
      <w:tr w:rsidR="006E1B23" w:rsidRPr="0077744B" w:rsidTr="006E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236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1599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內   容</w:t>
            </w:r>
          </w:p>
        </w:tc>
        <w:tc>
          <w:tcPr>
            <w:tcW w:w="1600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功     能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嶄新的一天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課程說明、認識彼此、確認學員需求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自我認知、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關係建立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迎接春天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認識彼此，建立與土壤、植物的連結-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認識環境、劃分學員種植區</w:t>
            </w: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域、製作、秋播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ind w:rightChars="-44" w:righ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認識環境、</w:t>
            </w: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建立與土壤、植物的連結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打開植物的五感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五行五色花草茶菜圃整理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菜圃整理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、茶包製作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認識常見保健植物與栽種，製作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青草伏冒熱飲</w:t>
            </w:r>
            <w:proofErr w:type="gramEnd"/>
          </w:p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認識常見保健植物與栽種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讓植物來照顧我們(二)</w:t>
            </w:r>
          </w:p>
        </w:tc>
        <w:tc>
          <w:tcPr>
            <w:tcW w:w="1599" w:type="pct"/>
          </w:tcPr>
          <w:p w:rsidR="006E1B23" w:rsidRPr="006E1B23" w:rsidRDefault="006E1B23" w:rsidP="006E1B23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昇陽補氣艾草，-艾草茶、艾草平安包/菜圃種植與整理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來種菜苗寶寶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認識土壤介質、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設計盆器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、栽種菜苗盆栽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各式土壤介質的運用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讓植物來照顧我們(三)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百草之英「薑黃」-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薑黃蜜飲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、薑黃染布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採收樂菜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苗寶寶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碗豆菜苗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、五行五色健康手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捲</w:t>
            </w:r>
            <w:proofErr w:type="gramEnd"/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食物製作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製作青草沐浴包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利用各類青草製作沐浴包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運用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當薑黃碰到艾草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薑黃艾草平安枕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生活用品製作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快樂耶誕節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聖誕花圈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快樂過節慶豐收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春之歌頌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菜圃大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採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收與料理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迎向康復之路</w:t>
            </w:r>
          </w:p>
        </w:tc>
      </w:tr>
    </w:tbl>
    <w:p w:rsidR="006E1B23" w:rsidRDefault="006E1B23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5036F7" w:rsidRDefault="00BE7FF8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BE7FF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BE7FF8" w:rsidRDefault="00BE7FF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proofErr w:type="gramStart"/>
      <w:r w:rsidRPr="000E24DF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希望工坊(新竹市北大路89號3樓)繳費後完成報名。</w:t>
      </w:r>
    </w:p>
    <w:p w:rsidR="00BE7FF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E7FF8" w:rsidRPr="00596FF4" w:rsidRDefault="00BE7FF8" w:rsidP="00BE7FF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96F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0" w:rsidRDefault="00A73EA0" w:rsidP="00506665">
      <w:r>
        <w:separator/>
      </w:r>
    </w:p>
  </w:endnote>
  <w:endnote w:type="continuationSeparator" w:id="0">
    <w:p w:rsidR="00A73EA0" w:rsidRDefault="00A73EA0" w:rsidP="005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LinGothic-Light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0" w:rsidRDefault="00A73EA0" w:rsidP="00506665">
      <w:r>
        <w:separator/>
      </w:r>
    </w:p>
  </w:footnote>
  <w:footnote w:type="continuationSeparator" w:id="0">
    <w:p w:rsidR="00A73EA0" w:rsidRDefault="00A73EA0" w:rsidP="0050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1F03A6"/>
    <w:rsid w:val="00202360"/>
    <w:rsid w:val="00340EA1"/>
    <w:rsid w:val="003614C1"/>
    <w:rsid w:val="00483161"/>
    <w:rsid w:val="005036F7"/>
    <w:rsid w:val="00506665"/>
    <w:rsid w:val="00510AB3"/>
    <w:rsid w:val="005B2611"/>
    <w:rsid w:val="0066047D"/>
    <w:rsid w:val="006E1B23"/>
    <w:rsid w:val="009D462F"/>
    <w:rsid w:val="00A73EA0"/>
    <w:rsid w:val="00BE7FF8"/>
    <w:rsid w:val="00C95049"/>
    <w:rsid w:val="00E143EF"/>
    <w:rsid w:val="00E94B46"/>
    <w:rsid w:val="00F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table" w:styleId="-6">
    <w:name w:val="Light List Accent 6"/>
    <w:basedOn w:val="a1"/>
    <w:uiPriority w:val="61"/>
    <w:rsid w:val="006E1B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6E1B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table" w:styleId="-6">
    <w:name w:val="Light List Accent 6"/>
    <w:basedOn w:val="a1"/>
    <w:uiPriority w:val="61"/>
    <w:rsid w:val="006E1B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6E1B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2020-08-19T00:33:00Z</cp:lastPrinted>
  <dcterms:created xsi:type="dcterms:W3CDTF">2020-07-30T00:32:00Z</dcterms:created>
  <dcterms:modified xsi:type="dcterms:W3CDTF">2020-08-19T00:34:00Z</dcterms:modified>
</cp:coreProperties>
</file>